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353"/>
        <w:gridCol w:w="4026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BE5ED1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1FE1">
              <w:rPr>
                <w:noProof/>
                <w:lang w:val="en-US"/>
              </w:rPr>
              <w:drawing>
                <wp:inline distT="0" distB="0" distL="0" distR="0">
                  <wp:extent cx="2419350" cy="2200275"/>
                  <wp:effectExtent l="0" t="0" r="0" b="9525"/>
                  <wp:docPr id="1" name="Kép 1" descr="Csurgai Józs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ai Józs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41637B">
        <w:tc>
          <w:tcPr>
            <w:tcW w:w="4380" w:type="dxa"/>
          </w:tcPr>
          <w:p w:rsidR="002F7F11" w:rsidRDefault="00BE5ED1" w:rsidP="00226CE8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BE5ED1">
              <w:rPr>
                <w:rFonts w:ascii="Verdana" w:hAnsi="Verdana"/>
                <w:b/>
                <w:sz w:val="20"/>
                <w:szCs w:val="20"/>
              </w:rPr>
              <w:t>Dr. CSURGAI József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8000 Székesfehérvár, Lövölde</w:t>
            </w:r>
            <w:r w:rsidR="002F7F11">
              <w:rPr>
                <w:rFonts w:ascii="Verdana" w:hAnsi="Verdana"/>
                <w:sz w:val="20"/>
                <w:szCs w:val="20"/>
              </w:rPr>
              <w:t xml:space="preserve"> u. 16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2F7F11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2F7F11" w:rsidRPr="002B772C">
                <w:rPr>
                  <w:rStyle w:val="Hiperhivatkozs"/>
                  <w:rFonts w:ascii="Verdana" w:hAnsi="Verdana"/>
                  <w:sz w:val="20"/>
                  <w:szCs w:val="20"/>
                </w:rPr>
                <w:t>jcsurgai@gmail.com</w:t>
              </w:r>
            </w:hyperlink>
            <w:r w:rsidR="002F7F11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9" w:history="1">
              <w:r w:rsidR="002F7F11" w:rsidRPr="002B772C">
                <w:rPr>
                  <w:rStyle w:val="Hiperhivatkozs"/>
                </w:rPr>
                <w:t>csurgai.jozsef@uni-nke.hu</w:t>
              </w:r>
            </w:hyperlink>
          </w:p>
          <w:p w:rsidR="0041637B" w:rsidRPr="007B1A21" w:rsidRDefault="0041637B" w:rsidP="002F7F1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2F7F11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2F7F11">
              <w:rPr>
                <w:rFonts w:ascii="Verdana" w:hAnsi="Verdana"/>
                <w:sz w:val="20"/>
                <w:szCs w:val="20"/>
              </w:rPr>
              <w:t>536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7F11">
              <w:rPr>
                <w:rFonts w:ascii="Verdana" w:hAnsi="Verdana"/>
                <w:sz w:val="20"/>
                <w:szCs w:val="20"/>
              </w:rPr>
              <w:t>9394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2F7F11">
              <w:rPr>
                <w:rFonts w:ascii="Verdana" w:hAnsi="Verdana"/>
                <w:sz w:val="20"/>
                <w:szCs w:val="20"/>
              </w:rPr>
              <w:t>NKE - 29525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</w:t>
            </w:r>
            <w:r w:rsidR="002F7F11">
              <w:rPr>
                <w:rFonts w:ascii="Verdana" w:hAnsi="Verdana"/>
                <w:sz w:val="20"/>
                <w:szCs w:val="20"/>
              </w:rPr>
              <w:t xml:space="preserve"> Győr, 1964. 10. 27.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E17" w:rsidP="00D32E17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198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D32E17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1990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Hivatásos katona / Szakaszparancsnok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32E17">
              <w:rPr>
                <w:rFonts w:ascii="Verdana" w:hAnsi="Verdana"/>
                <w:sz w:val="20"/>
                <w:szCs w:val="20"/>
              </w:rPr>
              <w:t xml:space="preserve">MN 5. Önálló Rendészeti </w:t>
            </w:r>
            <w:proofErr w:type="spellStart"/>
            <w:r w:rsidRPr="00D32E17">
              <w:rPr>
                <w:rFonts w:ascii="Verdana" w:hAnsi="Verdana"/>
                <w:sz w:val="20"/>
                <w:szCs w:val="20"/>
              </w:rPr>
              <w:t>Kommendáns</w:t>
            </w:r>
            <w:proofErr w:type="spellEnd"/>
            <w:r w:rsidRPr="00D32E17">
              <w:rPr>
                <w:rFonts w:ascii="Verdana" w:hAnsi="Verdana"/>
                <w:sz w:val="20"/>
                <w:szCs w:val="20"/>
              </w:rPr>
              <w:t xml:space="preserve"> Ezred, vegyi-, sugár felderítő szakasz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1990-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D32E17">
              <w:rPr>
                <w:rFonts w:ascii="Verdana" w:hAnsi="Verdana"/>
                <w:sz w:val="20"/>
                <w:szCs w:val="20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Hivatásos katona / Tájékoztató alosztályvezető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32E17">
              <w:rPr>
                <w:rFonts w:ascii="Verdana" w:hAnsi="Verdana"/>
                <w:sz w:val="20"/>
                <w:szCs w:val="20"/>
              </w:rPr>
              <w:t xml:space="preserve">MH 5. Önálló Rendészeti </w:t>
            </w:r>
            <w:proofErr w:type="spellStart"/>
            <w:r w:rsidRPr="00D32E17">
              <w:rPr>
                <w:rFonts w:ascii="Verdana" w:hAnsi="Verdana"/>
                <w:sz w:val="20"/>
                <w:szCs w:val="20"/>
              </w:rPr>
              <w:t>Kommendáns</w:t>
            </w:r>
            <w:proofErr w:type="spellEnd"/>
            <w:r w:rsidRPr="00D32E17">
              <w:rPr>
                <w:rFonts w:ascii="Verdana" w:hAnsi="Verdana"/>
                <w:sz w:val="20"/>
                <w:szCs w:val="20"/>
              </w:rPr>
              <w:t xml:space="preserve"> Ezred, Sugárhelyzet Értékelő és Tájékoztató Központ</w:t>
            </w:r>
          </w:p>
        </w:tc>
      </w:tr>
      <w:tr w:rsidR="00D32E1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Hivatásos katona / Vegyivédelmi Főnök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32E17">
              <w:rPr>
                <w:rFonts w:ascii="Verdana" w:hAnsi="Verdana"/>
                <w:sz w:val="20"/>
                <w:szCs w:val="20"/>
              </w:rPr>
              <w:t>MH Nagysándor József Híradóezred</w:t>
            </w:r>
          </w:p>
        </w:tc>
      </w:tr>
      <w:tr w:rsidR="00D32E1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D32E17" w:rsidP="00C24790">
            <w:pPr>
              <w:rPr>
                <w:rFonts w:ascii="Verdana" w:hAnsi="Verdana"/>
                <w:sz w:val="20"/>
                <w:szCs w:val="20"/>
              </w:rPr>
            </w:pPr>
            <w:r w:rsidRPr="00D32E17">
              <w:rPr>
                <w:rFonts w:ascii="Verdana" w:hAnsi="Verdana"/>
                <w:sz w:val="20"/>
                <w:szCs w:val="20"/>
              </w:rPr>
              <w:t>Hivatásos katona / Parancsnok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32E17">
              <w:rPr>
                <w:rFonts w:ascii="Verdana" w:hAnsi="Verdana"/>
                <w:sz w:val="20"/>
                <w:szCs w:val="20"/>
              </w:rPr>
              <w:t>MH Nagysándor József Híradóezred, Sugárhelyzet Értéke</w:t>
            </w:r>
            <w:bookmarkStart w:id="0" w:name="_GoBack"/>
            <w:bookmarkEnd w:id="0"/>
            <w:r w:rsidRPr="00D32E17">
              <w:rPr>
                <w:rFonts w:ascii="Verdana" w:hAnsi="Verdana"/>
                <w:sz w:val="20"/>
                <w:szCs w:val="20"/>
              </w:rPr>
              <w:t>lő és Tájékoztató Központ</w:t>
            </w:r>
          </w:p>
        </w:tc>
      </w:tr>
      <w:tr w:rsidR="00D32E1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AD78B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1998-1999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C722B1" w:rsidP="00C24790">
            <w:pPr>
              <w:rPr>
                <w:rFonts w:ascii="Verdana" w:hAnsi="Verdana"/>
                <w:sz w:val="20"/>
                <w:szCs w:val="20"/>
              </w:rPr>
            </w:pPr>
            <w:r w:rsidRPr="00C722B1">
              <w:rPr>
                <w:rFonts w:ascii="Verdana" w:hAnsi="Verdana"/>
                <w:sz w:val="20"/>
                <w:szCs w:val="20"/>
              </w:rPr>
              <w:t>Hivatásos katona / Kiemelt hadműveleti és kiképzési főtiszt</w:t>
            </w:r>
            <w:r>
              <w:rPr>
                <w:rFonts w:ascii="Verdana" w:hAnsi="Verdana"/>
                <w:sz w:val="20"/>
                <w:szCs w:val="20"/>
              </w:rPr>
              <w:t>, MH Szárazföldi Vezérkar</w:t>
            </w:r>
          </w:p>
        </w:tc>
      </w:tr>
      <w:tr w:rsidR="00D32E1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C722B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C722B1" w:rsidP="00C24790">
            <w:pPr>
              <w:rPr>
                <w:rFonts w:ascii="Verdana" w:hAnsi="Verdana"/>
                <w:sz w:val="20"/>
                <w:szCs w:val="20"/>
              </w:rPr>
            </w:pPr>
            <w:r w:rsidRPr="00C722B1">
              <w:rPr>
                <w:rFonts w:ascii="Verdana" w:hAnsi="Verdana"/>
                <w:sz w:val="20"/>
                <w:szCs w:val="20"/>
              </w:rPr>
              <w:t xml:space="preserve">Hivatásos katona / Nappali </w:t>
            </w:r>
            <w:proofErr w:type="gramStart"/>
            <w:r w:rsidRPr="00C722B1">
              <w:rPr>
                <w:rFonts w:ascii="Verdana" w:hAnsi="Verdana"/>
                <w:sz w:val="20"/>
                <w:szCs w:val="20"/>
              </w:rPr>
              <w:t>doktorandusz hallgató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722B1">
              <w:rPr>
                <w:rFonts w:ascii="Verdana" w:hAnsi="Verdana"/>
                <w:sz w:val="20"/>
                <w:szCs w:val="20"/>
              </w:rPr>
              <w:t>Zrínyi Miklós Nemzetvédelmi Egyetem, Vegyi és Környezetbiztonsági tanszék, Budapest</w:t>
            </w:r>
          </w:p>
        </w:tc>
      </w:tr>
      <w:tr w:rsidR="00D32E1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C722B1" w:rsidP="00C24790">
            <w:pPr>
              <w:rPr>
                <w:rFonts w:ascii="Verdana" w:hAnsi="Verdana"/>
                <w:sz w:val="20"/>
                <w:szCs w:val="20"/>
              </w:rPr>
            </w:pPr>
            <w:r w:rsidRPr="00C722B1">
              <w:rPr>
                <w:rFonts w:ascii="Verdana" w:hAnsi="Verdana"/>
                <w:sz w:val="20"/>
                <w:szCs w:val="20"/>
              </w:rPr>
              <w:t>2001-2011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32E17" w:rsidRPr="00D32E17" w:rsidRDefault="00C722B1" w:rsidP="00C24790">
            <w:pPr>
              <w:rPr>
                <w:rFonts w:ascii="Verdana" w:hAnsi="Verdana"/>
                <w:sz w:val="20"/>
                <w:szCs w:val="20"/>
              </w:rPr>
            </w:pPr>
            <w:r w:rsidRPr="00C722B1">
              <w:rPr>
                <w:rFonts w:ascii="Verdana" w:hAnsi="Verdana"/>
                <w:sz w:val="20"/>
                <w:szCs w:val="20"/>
              </w:rPr>
              <w:t>Hivatásos katona / Osztályvezető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722B1">
              <w:rPr>
                <w:rFonts w:ascii="Verdana" w:hAnsi="Verdana"/>
                <w:sz w:val="20"/>
                <w:szCs w:val="20"/>
              </w:rPr>
              <w:t>MH Vegyivédelmi Információs Központ, Vegyi-, Nukleárisbaleset – elhárítási Operatív Osztály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C473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C4733" w:rsidP="00C24790">
            <w:pPr>
              <w:rPr>
                <w:rFonts w:ascii="Verdana" w:hAnsi="Verdana"/>
                <w:sz w:val="20"/>
                <w:szCs w:val="20"/>
              </w:rPr>
            </w:pPr>
            <w:r w:rsidRPr="00CC4733">
              <w:rPr>
                <w:rFonts w:ascii="Verdana" w:hAnsi="Verdana"/>
                <w:sz w:val="20"/>
                <w:szCs w:val="20"/>
              </w:rPr>
              <w:t>Hivatásos katona / Laboratóriumvezető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C4733">
              <w:rPr>
                <w:rFonts w:ascii="Verdana" w:hAnsi="Verdana"/>
                <w:sz w:val="20"/>
                <w:szCs w:val="20"/>
              </w:rPr>
              <w:t xml:space="preserve">Nemzeti Közszolgálati Egyetem, 1101 Budapest, Hungária </w:t>
            </w:r>
            <w:proofErr w:type="spellStart"/>
            <w:r w:rsidRPr="00CC4733">
              <w:rPr>
                <w:rFonts w:ascii="Verdana" w:hAnsi="Verdana"/>
                <w:sz w:val="20"/>
                <w:szCs w:val="20"/>
              </w:rPr>
              <w:t>krt</w:t>
            </w:r>
            <w:proofErr w:type="spellEnd"/>
            <w:r w:rsidRPr="00CC4733">
              <w:rPr>
                <w:rFonts w:ascii="Verdana" w:hAnsi="Verdana"/>
                <w:sz w:val="20"/>
                <w:szCs w:val="20"/>
              </w:rPr>
              <w:t xml:space="preserve"> 9-11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995D2A" w:rsidP="00995D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84CE5" w:rsidP="00284CE5">
            <w:pPr>
              <w:rPr>
                <w:rFonts w:ascii="Verdana" w:hAnsi="Verdana"/>
                <w:sz w:val="20"/>
                <w:szCs w:val="20"/>
              </w:rPr>
            </w:pPr>
            <w:r w:rsidRPr="00284CE5">
              <w:rPr>
                <w:rFonts w:ascii="Verdana" w:hAnsi="Verdana"/>
                <w:sz w:val="20"/>
                <w:szCs w:val="20"/>
              </w:rPr>
              <w:t>Vegyivédelmi hadmérnök, oklevél száma: 1148/1990,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84CE5">
              <w:rPr>
                <w:rFonts w:ascii="Verdana" w:hAnsi="Verdana"/>
                <w:sz w:val="20"/>
                <w:szCs w:val="20"/>
              </w:rPr>
              <w:t>oklevél minősítése: kiváló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84CE5">
              <w:rPr>
                <w:rFonts w:ascii="Verdana" w:hAnsi="Verdana"/>
                <w:sz w:val="20"/>
                <w:szCs w:val="20"/>
              </w:rPr>
              <w:t>Tambovi</w:t>
            </w:r>
            <w:proofErr w:type="spellEnd"/>
            <w:r w:rsidRPr="00284CE5">
              <w:rPr>
                <w:rFonts w:ascii="Verdana" w:hAnsi="Verdana"/>
                <w:sz w:val="20"/>
                <w:szCs w:val="20"/>
              </w:rPr>
              <w:t xml:space="preserve"> Vegyivédelmi Főiskola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Szovjetúnió</w:t>
            </w:r>
            <w:proofErr w:type="spellEnd"/>
            <w:r w:rsidRPr="00284CE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84CE5" w:rsidP="00284C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84CE5" w:rsidP="00284CE5">
            <w:pPr>
              <w:rPr>
                <w:rFonts w:ascii="Verdana" w:hAnsi="Verdana"/>
                <w:sz w:val="20"/>
                <w:szCs w:val="20"/>
              </w:rPr>
            </w:pPr>
            <w:r w:rsidRPr="00284CE5">
              <w:rPr>
                <w:rFonts w:ascii="Verdana" w:hAnsi="Verdana"/>
                <w:sz w:val="20"/>
                <w:szCs w:val="20"/>
              </w:rPr>
              <w:t>okleveles vegyészmér</w:t>
            </w:r>
            <w:r>
              <w:rPr>
                <w:rFonts w:ascii="Verdana" w:hAnsi="Verdana"/>
                <w:sz w:val="20"/>
                <w:szCs w:val="20"/>
              </w:rPr>
              <w:t xml:space="preserve">nök, oklevél száma: 100/54/1995, </w:t>
            </w:r>
            <w:r w:rsidRPr="00284CE5">
              <w:rPr>
                <w:rFonts w:ascii="Verdana" w:hAnsi="Verdana"/>
                <w:sz w:val="20"/>
                <w:szCs w:val="20"/>
              </w:rPr>
              <w:t>oklevél minősítése: jeles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84CE5">
              <w:rPr>
                <w:rFonts w:ascii="Verdana" w:hAnsi="Verdana"/>
                <w:sz w:val="20"/>
                <w:szCs w:val="20"/>
              </w:rPr>
              <w:t>Budapesti Műszaki Egyetem Vegyészmérnöki Kar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84CE5">
              <w:rPr>
                <w:rFonts w:ascii="Verdana" w:hAnsi="Verdana"/>
                <w:sz w:val="20"/>
                <w:szCs w:val="20"/>
              </w:rPr>
              <w:t>Szerves és biológiai vegyipari szak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84CE5" w:rsidP="00C24790">
            <w:pPr>
              <w:rPr>
                <w:rFonts w:ascii="Verdana" w:hAnsi="Verdana"/>
                <w:sz w:val="20"/>
                <w:szCs w:val="20"/>
              </w:rPr>
            </w:pPr>
            <w:r w:rsidRPr="00284CE5">
              <w:rPr>
                <w:rFonts w:ascii="Verdana" w:hAnsi="Verdana"/>
                <w:sz w:val="20"/>
                <w:szCs w:val="20"/>
              </w:rPr>
              <w:t>1998-2003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84CE5" w:rsidP="00284CE5">
            <w:pPr>
              <w:rPr>
                <w:rFonts w:ascii="Verdana" w:hAnsi="Verdana"/>
                <w:sz w:val="20"/>
                <w:szCs w:val="20"/>
              </w:rPr>
            </w:pPr>
            <w:r w:rsidRPr="00284CE5">
              <w:rPr>
                <w:rFonts w:ascii="Verdana" w:hAnsi="Verdana"/>
                <w:sz w:val="20"/>
                <w:szCs w:val="20"/>
              </w:rPr>
              <w:t>PhD (Katonai műszaki tudományok), oklevél száma: 38/972,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84CE5">
              <w:rPr>
                <w:rFonts w:ascii="Verdana" w:hAnsi="Verdana"/>
                <w:sz w:val="20"/>
                <w:szCs w:val="20"/>
              </w:rPr>
              <w:t xml:space="preserve">oklevél minősítése: </w:t>
            </w:r>
            <w:proofErr w:type="gramStart"/>
            <w:r w:rsidRPr="00284CE5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Pr="00284CE5">
              <w:rPr>
                <w:rFonts w:ascii="Verdana" w:hAnsi="Verdana"/>
                <w:sz w:val="20"/>
                <w:szCs w:val="20"/>
              </w:rPr>
              <w:t xml:space="preserve"> cum laude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C48E1" w:rsidRPr="008C48E1">
              <w:rPr>
                <w:rFonts w:ascii="Verdana" w:hAnsi="Verdana"/>
                <w:sz w:val="20"/>
                <w:szCs w:val="20"/>
              </w:rPr>
              <w:t>Zrínyi Miklós Nemzetvédelmi Egyetem</w:t>
            </w:r>
            <w:r w:rsidR="008C48E1">
              <w:rPr>
                <w:rFonts w:ascii="Verdana" w:hAnsi="Verdana"/>
                <w:sz w:val="20"/>
                <w:szCs w:val="20"/>
              </w:rPr>
              <w:t>, Katonai Műszaki Doktori Iskola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C96816" w:rsidTr="0065049F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65049F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 w:rsidRPr="00284CE5">
              <w:rPr>
                <w:rFonts w:ascii="Verdana" w:hAnsi="Verdana"/>
                <w:sz w:val="20"/>
                <w:szCs w:val="20"/>
              </w:rPr>
              <w:t>PhD (Katonai műszaki tudományok), oklevél száma: 38/972,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84CE5">
              <w:rPr>
                <w:rFonts w:ascii="Verdana" w:hAnsi="Verdana"/>
                <w:sz w:val="20"/>
                <w:szCs w:val="20"/>
              </w:rPr>
              <w:t xml:space="preserve">oklevél minősítése: </w:t>
            </w:r>
            <w:proofErr w:type="gramStart"/>
            <w:r w:rsidRPr="00284CE5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Pr="00284CE5">
              <w:rPr>
                <w:rFonts w:ascii="Verdana" w:hAnsi="Verdana"/>
                <w:sz w:val="20"/>
                <w:szCs w:val="20"/>
              </w:rPr>
              <w:t xml:space="preserve"> cum laude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C48E1">
              <w:rPr>
                <w:rFonts w:ascii="Verdana" w:hAnsi="Verdana"/>
                <w:sz w:val="20"/>
                <w:szCs w:val="20"/>
              </w:rPr>
              <w:t>Zrínyi Miklós Nemzetvédelmi Egyetem</w:t>
            </w:r>
            <w:r>
              <w:rPr>
                <w:rFonts w:ascii="Verdana" w:hAnsi="Verdana"/>
                <w:sz w:val="20"/>
                <w:szCs w:val="20"/>
              </w:rPr>
              <w:t>, Katonai Műszaki Doktori Iskola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2E36B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D15505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15505" w:rsidRPr="00EB51E5" w:rsidRDefault="00D15505" w:rsidP="002E36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D15505" w:rsidRPr="00EB51E5" w:rsidRDefault="00A963F1" w:rsidP="00A963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Előadói Nívódíj, Őszi Radiokémiai Napok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’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99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63F1">
              <w:rPr>
                <w:rFonts w:ascii="Verdana" w:hAnsi="Verdana"/>
                <w:sz w:val="20"/>
                <w:szCs w:val="20"/>
                <w:lang w:val="en-US"/>
              </w:rPr>
              <w:t>Kecskemét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A963F1">
              <w:rPr>
                <w:rFonts w:ascii="Verdana" w:hAnsi="Verdana"/>
                <w:sz w:val="20"/>
                <w:szCs w:val="20"/>
                <w:lang w:val="en-US"/>
              </w:rPr>
              <w:t xml:space="preserve"> 1999. </w:t>
            </w:r>
            <w:proofErr w:type="spellStart"/>
            <w:r w:rsidRPr="00A963F1">
              <w:rPr>
                <w:rFonts w:ascii="Verdana" w:hAnsi="Verdana"/>
                <w:sz w:val="20"/>
                <w:szCs w:val="20"/>
                <w:lang w:val="en-US"/>
              </w:rPr>
              <w:t>október</w:t>
            </w:r>
            <w:proofErr w:type="spellEnd"/>
            <w:r w:rsidRPr="00A963F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14.</w:t>
            </w:r>
            <w:r w:rsidR="0001419D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„</w:t>
            </w:r>
            <w:proofErr w:type="gram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proofErr w:type="gram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védőcső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blokk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emelését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monitorozó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dozimetriai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mérőrendszer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továbbfejlesztése</w:t>
            </w:r>
            <w:proofErr w:type="spellEnd"/>
            <w:r w:rsidR="0001419D" w:rsidRPr="0001419D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333A5C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EB51E5" w:rsidRDefault="002E36B5" w:rsidP="002E36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1999</w:t>
            </w:r>
            <w:r w:rsidR="00333A5C" w:rsidRPr="00EB51E5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EB51E5" w:rsidRDefault="002E36B5" w:rsidP="002E36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Folyamatos részvétel a Paksi Atomerőmű biztonsági és üzemi szűrőrendszerei hatásfokának mérésére és minősítésére szolgáló mérőrendszerek fejlesztésében és üzemeltetésében</w:t>
            </w:r>
          </w:p>
        </w:tc>
      </w:tr>
      <w:tr w:rsidR="002E36B5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E36B5" w:rsidRPr="00EB51E5" w:rsidRDefault="002E36B5" w:rsidP="002E36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1999–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2E36B5" w:rsidRPr="00EB51E5" w:rsidRDefault="002E36B5" w:rsidP="002E36B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Folyamatos részvétel a Paksi Atomerőműnek az üzemi körülmények között alkalmazható mérőrendszer kialakításában a VCSB kazetta mentességének megállapítására vonatkozó sugárvédelmi ellenőrző módszer kivitelezésére, illetve, a mérőrendszer üzemeltetésében</w:t>
            </w:r>
          </w:p>
        </w:tc>
      </w:tr>
      <w:tr w:rsidR="00333A5C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EB51E5" w:rsidRDefault="00BE0057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2002</w:t>
            </w:r>
            <w:r w:rsidR="00333A5C" w:rsidRPr="00EB51E5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Szakértő, fejlesztő mérnökként részvétel a légi sugárfelderítő </w:t>
            </w:r>
            <w:proofErr w:type="gram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konténer</w:t>
            </w:r>
            <w:proofErr w:type="gram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fejlesztésében</w:t>
            </w:r>
          </w:p>
        </w:tc>
      </w:tr>
      <w:tr w:rsidR="00BE0057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Szakértőként részvétel a Kiégett Fűtőelemek Átmeneti Tárolójának (KKÁT) katonai-terrorista kockázati elemzésében</w:t>
            </w:r>
          </w:p>
        </w:tc>
      </w:tr>
      <w:tr w:rsidR="00BE0057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Szakértőként részvétel a Paksi Atomerőmű katonai-terrorista kockázati elemzésében</w:t>
            </w:r>
          </w:p>
        </w:tc>
      </w:tr>
      <w:tr w:rsidR="00BE0057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6-2007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CD3CA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Szakértőként részvétel a Paksi Atomerőmű fizikai védelmének felülvizsgálatában</w:t>
            </w:r>
          </w:p>
        </w:tc>
      </w:tr>
      <w:tr w:rsidR="00BE0057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F905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Szakértőként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és kidolgozóként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részvétel a nukleáris balesetek esetén hazánkban használt légköri terjedés- és dózisszámító szoftverek vizsgálatában, összehasonlításában és a baleseti értékelő eljárásokkal való harmonizálásban</w:t>
            </w:r>
          </w:p>
        </w:tc>
      </w:tr>
      <w:tr w:rsidR="00BE0057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BE0057" w:rsidP="00F905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Szakértőként és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előadóként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részvétel a “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Training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Tutoring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for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experts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the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NRAs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their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TSOs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for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developing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or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strengthening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their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regulatory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technical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capabilities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” szakmai tréningen „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Radiation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Protection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Regulatory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Emergency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Preparedness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” (Sugárvédelem és nukleárisbaleset-elhárítási felkészülés) témakörben </w:t>
            </w:r>
            <w:proofErr w:type="gram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2016 április</w:t>
            </w:r>
            <w:proofErr w:type="gram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12-13-án</w:t>
            </w:r>
          </w:p>
        </w:tc>
      </w:tr>
      <w:tr w:rsidR="006A2B7B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6A2B7B" w:rsidRPr="00EB51E5" w:rsidRDefault="006A2B7B" w:rsidP="00CD3CA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6A2B7B" w:rsidRPr="00EB51E5" w:rsidRDefault="006A2B7B" w:rsidP="00F905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Szakértőként és előadóként részvétel a Nemzetközi Atomenergia Ügynökség által, az IRA2013 06 projekt keretében szervezett, az iráni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Bushehr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NPP (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Bushehri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Atomerőmű) nukleáris és radiokémiai szakembereinek továbbképzésén, magas hátterű, </w:t>
            </w:r>
            <w:proofErr w:type="gram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primer</w:t>
            </w:r>
            <w:proofErr w:type="gram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és szekunder köri, technológiai gamma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spektrometriás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és trícium, valamint </w:t>
            </w:r>
            <w:smartTag w:uri="urn:schemas-microsoft-com:office:smarttags" w:element="metricconverter">
              <w:smartTagPr>
                <w:attr w:name="ProductID" w:val="14C"/>
              </w:smartTagPr>
              <w:r w:rsidRPr="00EB51E5">
                <w:rPr>
                  <w:rFonts w:ascii="Verdana" w:hAnsi="Verdana"/>
                  <w:sz w:val="20"/>
                  <w:szCs w:val="20"/>
                  <w:lang w:val="en-US"/>
                </w:rPr>
                <w:t>14C</w:t>
              </w:r>
            </w:smartTag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béta mérések témakörében 2016 december 12. 03-08 között</w:t>
            </w:r>
          </w:p>
        </w:tc>
      </w:tr>
      <w:tr w:rsidR="00F90542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F90542" w:rsidRPr="00EB51E5" w:rsidRDefault="00F90542" w:rsidP="00F905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201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90542" w:rsidRPr="00EB51E5" w:rsidRDefault="00F90542" w:rsidP="00F905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Szakértőként és előadóként részvétel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a Nemzetközi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Atomenergia Ügynökség által, a RER7008/9004/01 projekt keretében szervezett egyhetes „Felületi szennyezettség-mérés kézi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műszerekkel”és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felületi mintavétel” szakmai műhely rendezvényen (Data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Evaluation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Workshop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Determination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Surface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Contamination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by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Handheld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Equipment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) 2017 01. 16-20. között</w:t>
            </w:r>
          </w:p>
        </w:tc>
      </w:tr>
      <w:tr w:rsidR="00F90542" w:rsidRPr="00EB51E5" w:rsidTr="00CD3CAC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F90542" w:rsidRPr="00EB51E5" w:rsidRDefault="00F90542" w:rsidP="00CD3CA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F90542" w:rsidRPr="00EB51E5" w:rsidRDefault="0084171C" w:rsidP="008417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Ö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nálló, egyhetes </w:t>
            </w:r>
            <w:proofErr w:type="gram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misszió</w:t>
            </w:r>
            <w:proofErr w:type="gram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s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zakértőként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történő végrehajtása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a Nemzetközi Atomenergia Ügynökség megbízásából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Kirgizsztánban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(kódszáma: KIG6006/02/01), a kirgiz fél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országos élelmiszer-, takarmány- és vízbiztonság ellenőrző rendszere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radiológiai és radiokémiai laboratóriumi képességének, nukleáris monitoring eljárásrendjének, az állomány szakmai kompetenciájának, valamint az eszközrendszer fejlesztési igényének teljes körű felmérése céljából 2017 05. 13-20 között</w:t>
            </w:r>
          </w:p>
        </w:tc>
      </w:tr>
      <w:tr w:rsidR="00BE0057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F3D5A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2003-2011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F3D5A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NATO NSA NBC CIS and Warning &amp; Reporting Panel Syndicate 2 (műszaki-tudományos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munkacsoport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tagság</w:t>
            </w:r>
          </w:p>
        </w:tc>
      </w:tr>
      <w:tr w:rsidR="00BE0057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B57D0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2005-2009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B57D0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Comprehensive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Nuclear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-Test-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Ban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Treaty</w:t>
            </w:r>
            <w:proofErr w:type="spellEnd"/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Organization (CTBTO) nukleáris-technikai szakértő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i tevékenység</w:t>
            </w:r>
          </w:p>
        </w:tc>
      </w:tr>
      <w:tr w:rsidR="00BE0057" w:rsidRPr="00EB51E5" w:rsidTr="002E36B5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B57D0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BE0057" w:rsidRPr="00EB51E5" w:rsidRDefault="00DB57D0" w:rsidP="00BE005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>CNC forgácsolás, vezérlő programozás (SIEMENS, HEIDENHAIN)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65049F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65049F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 w:rsidRPr="0065049F">
              <w:rPr>
                <w:rFonts w:ascii="Verdana" w:hAnsi="Verdana"/>
                <w:sz w:val="20"/>
                <w:szCs w:val="20"/>
              </w:rPr>
              <w:t>felsőfokú,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049F">
              <w:rPr>
                <w:rFonts w:ascii="Verdana" w:hAnsi="Verdana"/>
                <w:sz w:val="20"/>
                <w:szCs w:val="20"/>
              </w:rPr>
              <w:t>egyetemi diploma</w:t>
            </w:r>
          </w:p>
        </w:tc>
      </w:tr>
      <w:tr w:rsidR="00333A5C" w:rsidRPr="005710DF" w:rsidTr="0065049F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5049F" w:rsidP="00C24790">
            <w:pPr>
              <w:rPr>
                <w:rFonts w:ascii="Verdana" w:hAnsi="Verdana"/>
                <w:sz w:val="20"/>
                <w:szCs w:val="20"/>
              </w:rPr>
            </w:pPr>
            <w:r w:rsidRPr="0065049F">
              <w:rPr>
                <w:rFonts w:ascii="Verdana" w:hAnsi="Verdana"/>
                <w:sz w:val="20"/>
                <w:szCs w:val="20"/>
              </w:rPr>
              <w:t>felsőfokú, katonai szakanyaggal bővített "C", és STANAG 3.3.3.3.</w:t>
            </w:r>
          </w:p>
        </w:tc>
      </w:tr>
    </w:tbl>
    <w:p w:rsidR="00514432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EB51E5" w:rsidRPr="00C96816" w:rsidTr="00CD3CAC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EB51E5" w:rsidRPr="00C96816" w:rsidRDefault="00EB51E5" w:rsidP="00CD3CAC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PUBLIKÁCIÓS LISTA</w:t>
            </w:r>
          </w:p>
        </w:tc>
      </w:tr>
    </w:tbl>
    <w:p w:rsidR="00EB51E5" w:rsidRPr="00EB51E5" w:rsidRDefault="00EB51E5" w:rsidP="00333A5C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Pr="00EB51E5">
          <w:rPr>
            <w:rStyle w:val="Hiperhivatkozs"/>
            <w:rFonts w:ascii="Verdana" w:hAnsi="Verdana"/>
          </w:rPr>
          <w:t>https://vm.mtmt.hu/www/index</w:t>
        </w:r>
        <w:r w:rsidRPr="00EB51E5">
          <w:rPr>
            <w:rStyle w:val="Hiperhivatkozs"/>
            <w:rFonts w:ascii="Verdana" w:hAnsi="Verdana"/>
          </w:rPr>
          <w:t>.</w:t>
        </w:r>
        <w:r w:rsidRPr="00EB51E5">
          <w:rPr>
            <w:rStyle w:val="Hiperhivatkozs"/>
            <w:rFonts w:ascii="Verdana" w:hAnsi="Verdana"/>
          </w:rPr>
          <w:t>php?scid=21</w:t>
        </w:r>
      </w:hyperlink>
    </w:p>
    <w:sectPr w:rsidR="00EB51E5" w:rsidRPr="00EB51E5" w:rsidSect="0041561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62" w:rsidRDefault="00AD1B62" w:rsidP="004A5B11">
      <w:pPr>
        <w:spacing w:after="0" w:line="240" w:lineRule="auto"/>
      </w:pPr>
      <w:r>
        <w:separator/>
      </w:r>
    </w:p>
  </w:endnote>
  <w:endnote w:type="continuationSeparator" w:id="0">
    <w:p w:rsidR="00AD1B62" w:rsidRDefault="00AD1B6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B51E5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62" w:rsidRDefault="00AD1B62" w:rsidP="004A5B11">
      <w:pPr>
        <w:spacing w:after="0" w:line="240" w:lineRule="auto"/>
      </w:pPr>
      <w:r>
        <w:separator/>
      </w:r>
    </w:p>
  </w:footnote>
  <w:footnote w:type="continuationSeparator" w:id="0">
    <w:p w:rsidR="00AD1B62" w:rsidRDefault="00AD1B6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D1B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D1B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AD1B6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419D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84CE5"/>
    <w:rsid w:val="002967C6"/>
    <w:rsid w:val="002E36B5"/>
    <w:rsid w:val="002F7F11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049F"/>
    <w:rsid w:val="006534A3"/>
    <w:rsid w:val="006851E4"/>
    <w:rsid w:val="006A2B7B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4171C"/>
    <w:rsid w:val="00856186"/>
    <w:rsid w:val="0088316E"/>
    <w:rsid w:val="008A3D86"/>
    <w:rsid w:val="008C48E1"/>
    <w:rsid w:val="008E6E67"/>
    <w:rsid w:val="00966177"/>
    <w:rsid w:val="00995D2A"/>
    <w:rsid w:val="009A5427"/>
    <w:rsid w:val="009B6F08"/>
    <w:rsid w:val="009E4C96"/>
    <w:rsid w:val="00A22AF6"/>
    <w:rsid w:val="00A44BE0"/>
    <w:rsid w:val="00A7797B"/>
    <w:rsid w:val="00A963F1"/>
    <w:rsid w:val="00AB7AB3"/>
    <w:rsid w:val="00AD1B62"/>
    <w:rsid w:val="00AD78B1"/>
    <w:rsid w:val="00AE0B99"/>
    <w:rsid w:val="00AE40B5"/>
    <w:rsid w:val="00B019EA"/>
    <w:rsid w:val="00B43ECD"/>
    <w:rsid w:val="00B61F48"/>
    <w:rsid w:val="00BD4F26"/>
    <w:rsid w:val="00BE0057"/>
    <w:rsid w:val="00BE5ED1"/>
    <w:rsid w:val="00C15169"/>
    <w:rsid w:val="00C334C2"/>
    <w:rsid w:val="00C722B1"/>
    <w:rsid w:val="00C876F7"/>
    <w:rsid w:val="00CC22A1"/>
    <w:rsid w:val="00CC4733"/>
    <w:rsid w:val="00CE304C"/>
    <w:rsid w:val="00CE386A"/>
    <w:rsid w:val="00CE5F80"/>
    <w:rsid w:val="00D15505"/>
    <w:rsid w:val="00D32E17"/>
    <w:rsid w:val="00D93127"/>
    <w:rsid w:val="00DB57D0"/>
    <w:rsid w:val="00DC0557"/>
    <w:rsid w:val="00DF3D5A"/>
    <w:rsid w:val="00E17242"/>
    <w:rsid w:val="00E55462"/>
    <w:rsid w:val="00E66161"/>
    <w:rsid w:val="00EB51E5"/>
    <w:rsid w:val="00EC35BE"/>
    <w:rsid w:val="00ED7927"/>
    <w:rsid w:val="00F37234"/>
    <w:rsid w:val="00F80B2F"/>
    <w:rsid w:val="00F90542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CF03FF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F7F11"/>
    <w:rPr>
      <w:color w:val="0563C1" w:themeColor="hyperlink"/>
      <w:u w:val="single"/>
    </w:rPr>
  </w:style>
  <w:style w:type="character" w:customStyle="1" w:styleId="rpci1">
    <w:name w:val="_rpc_i1"/>
    <w:basedOn w:val="Bekezdsalapbettpusa"/>
    <w:rsid w:val="002F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surga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m.mtmt.hu/www/index.php?scid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urgai.jozsef@uni-nke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C2F0-EBFD-472C-B207-6676461B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Csurgai József</cp:lastModifiedBy>
  <cp:revision>19</cp:revision>
  <cp:lastPrinted>2020-03-03T07:29:00Z</cp:lastPrinted>
  <dcterms:created xsi:type="dcterms:W3CDTF">2020-06-23T12:57:00Z</dcterms:created>
  <dcterms:modified xsi:type="dcterms:W3CDTF">2020-06-24T08:37:00Z</dcterms:modified>
</cp:coreProperties>
</file>