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C" w:rsidRPr="00347C5D" w:rsidRDefault="007562EC" w:rsidP="007562EC">
      <w:pPr>
        <w:ind w:left="142"/>
        <w:jc w:val="center"/>
        <w:rPr>
          <w:rFonts w:ascii="Arial" w:hAnsi="Arial" w:cs="Arial"/>
          <w:b/>
        </w:rPr>
      </w:pPr>
      <w:r w:rsidRPr="00347C5D">
        <w:rPr>
          <w:rFonts w:ascii="Arial" w:hAnsi="Arial" w:cs="Arial"/>
          <w:b/>
        </w:rPr>
        <w:t>Zrínyi Miklós Laktanya és Egyetemi Campus, Bp. Hungária krt. 9-11</w:t>
      </w:r>
    </w:p>
    <w:tbl>
      <w:tblPr>
        <w:tblW w:w="1445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817"/>
        <w:gridCol w:w="1473"/>
        <w:gridCol w:w="1713"/>
        <w:gridCol w:w="1798"/>
        <w:gridCol w:w="1468"/>
        <w:gridCol w:w="1407"/>
        <w:gridCol w:w="1139"/>
        <w:gridCol w:w="2126"/>
      </w:tblGrid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Megnevezés</w:t>
            </w:r>
          </w:p>
        </w:tc>
        <w:tc>
          <w:tcPr>
            <w:tcW w:w="1451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7313F">
              <w:rPr>
                <w:rFonts w:ascii="Arial" w:hAnsi="Arial" w:cs="Arial"/>
              </w:rPr>
              <w:t>9</w:t>
            </w:r>
            <w:r w:rsidRPr="0037313F">
              <w:rPr>
                <w:rFonts w:ascii="Arial" w:hAnsi="Arial" w:cs="Arial"/>
                <w:vertAlign w:val="superscript"/>
              </w:rPr>
              <w:t xml:space="preserve">00 </w:t>
            </w:r>
            <w:r w:rsidRPr="0037313F">
              <w:rPr>
                <w:rFonts w:ascii="Arial" w:hAnsi="Arial" w:cs="Arial"/>
              </w:rPr>
              <w:t>- 10</w:t>
            </w:r>
            <w:r w:rsidRPr="0037313F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691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10</w:t>
            </w:r>
            <w:r w:rsidRPr="0037313F">
              <w:rPr>
                <w:rFonts w:ascii="Arial" w:hAnsi="Arial" w:cs="Arial"/>
                <w:vertAlign w:val="superscript"/>
              </w:rPr>
              <w:t xml:space="preserve">00 </w:t>
            </w:r>
            <w:r w:rsidRPr="0037313F">
              <w:rPr>
                <w:rFonts w:ascii="Arial" w:hAnsi="Arial" w:cs="Arial"/>
              </w:rPr>
              <w:t>- 11</w:t>
            </w:r>
            <w:r w:rsidRPr="0037313F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776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11</w:t>
            </w:r>
            <w:r w:rsidRPr="0037313F">
              <w:rPr>
                <w:rFonts w:ascii="Arial" w:hAnsi="Arial" w:cs="Arial"/>
                <w:vertAlign w:val="superscript"/>
              </w:rPr>
              <w:t xml:space="preserve">00 </w:t>
            </w:r>
            <w:r w:rsidRPr="0037313F">
              <w:rPr>
                <w:rFonts w:ascii="Arial" w:hAnsi="Arial" w:cs="Arial"/>
              </w:rPr>
              <w:t>- 12</w:t>
            </w:r>
            <w:r w:rsidRPr="0037313F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446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12</w:t>
            </w:r>
            <w:r w:rsidRPr="0037313F">
              <w:rPr>
                <w:rFonts w:ascii="Arial" w:hAnsi="Arial" w:cs="Arial"/>
                <w:vertAlign w:val="superscript"/>
              </w:rPr>
              <w:t xml:space="preserve">00 </w:t>
            </w:r>
            <w:r w:rsidRPr="0037313F">
              <w:rPr>
                <w:rFonts w:ascii="Arial" w:hAnsi="Arial" w:cs="Arial"/>
              </w:rPr>
              <w:t>- 13</w:t>
            </w:r>
            <w:r w:rsidRPr="0037313F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385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13</w:t>
            </w:r>
            <w:r w:rsidRPr="0037313F">
              <w:rPr>
                <w:rFonts w:ascii="Arial" w:hAnsi="Arial" w:cs="Arial"/>
                <w:vertAlign w:val="superscript"/>
              </w:rPr>
              <w:t xml:space="preserve">00 </w:t>
            </w:r>
            <w:r w:rsidRPr="0037313F">
              <w:rPr>
                <w:rFonts w:ascii="Arial" w:hAnsi="Arial" w:cs="Arial"/>
              </w:rPr>
              <w:t>- 14</w:t>
            </w:r>
            <w:r w:rsidRPr="0037313F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117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14</w:t>
            </w:r>
            <w:r w:rsidRPr="0037313F"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</w:t>
            </w:r>
            <w:r w:rsidRPr="0037313F">
              <w:rPr>
                <w:rFonts w:ascii="Arial" w:hAnsi="Arial" w:cs="Arial"/>
              </w:rPr>
              <w:t>15</w:t>
            </w:r>
            <w:r w:rsidRPr="0037313F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093" w:type="dxa"/>
            <w:shd w:val="clear" w:color="auto" w:fill="FABF8F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Felelős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Regisztráció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  <w:bCs/>
                <w:sz w:val="20"/>
                <w:szCs w:val="20"/>
              </w:rPr>
              <w:t>1. és 23. ép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let közötti kapubejárónál</w:t>
            </w: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DD053B" w:rsidRDefault="007562EC" w:rsidP="00702F6E">
            <w:pPr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Ünnepélyes megnyitó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Díszterem</w:t>
            </w:r>
          </w:p>
          <w:p w:rsidR="007562EC" w:rsidRDefault="007562EC" w:rsidP="00702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F733E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Dékán</w:t>
            </w:r>
          </w:p>
          <w:p w:rsidR="007562EC" w:rsidRDefault="007562EC" w:rsidP="00702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KVI igazg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tó</w:t>
            </w:r>
          </w:p>
          <w:p w:rsidR="007562EC" w:rsidRPr="00DF733E" w:rsidRDefault="007562EC" w:rsidP="00702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F733E"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LZ</w:t>
            </w:r>
          </w:p>
        </w:tc>
        <w:tc>
          <w:tcPr>
            <w:tcW w:w="177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+ DH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Katonai képzések ismert</w:t>
            </w:r>
            <w:r w:rsidRPr="0037313F">
              <w:rPr>
                <w:rFonts w:ascii="Arial" w:hAnsi="Arial" w:cs="Arial"/>
                <w:sz w:val="22"/>
                <w:szCs w:val="22"/>
              </w:rPr>
              <w:t>e</w:t>
            </w:r>
            <w:r w:rsidRPr="0037313F">
              <w:rPr>
                <w:rFonts w:ascii="Arial" w:hAnsi="Arial" w:cs="Arial"/>
                <w:sz w:val="22"/>
                <w:szCs w:val="22"/>
              </w:rPr>
              <w:t>tése, tájékoztató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37313F">
              <w:rPr>
                <w:rFonts w:ascii="Arial" w:hAnsi="Arial" w:cs="Arial"/>
                <w:sz w:val="20"/>
                <w:szCs w:val="20"/>
              </w:rPr>
              <w:t xml:space="preserve">  Dís</w:t>
            </w:r>
            <w:r w:rsidRPr="0037313F">
              <w:rPr>
                <w:rFonts w:ascii="Arial" w:hAnsi="Arial" w:cs="Arial"/>
                <w:sz w:val="20"/>
                <w:szCs w:val="20"/>
              </w:rPr>
              <w:t>z</w:t>
            </w:r>
            <w:r w:rsidRPr="0037313F">
              <w:rPr>
                <w:rFonts w:ascii="Arial" w:hAnsi="Arial" w:cs="Arial"/>
                <w:sz w:val="20"/>
                <w:szCs w:val="20"/>
              </w:rPr>
              <w:t>terem</w:t>
            </w:r>
          </w:p>
        </w:tc>
        <w:tc>
          <w:tcPr>
            <w:tcW w:w="177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ODH + </w:t>
            </w:r>
            <w:r w:rsidRPr="0037313F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37313F"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 w:rsidRPr="00373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Különleges Díszelgő Csoport bemutatója 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7313F">
              <w:rPr>
                <w:rFonts w:ascii="Arial" w:hAnsi="Arial" w:cs="Arial"/>
                <w:sz w:val="20"/>
                <w:szCs w:val="20"/>
              </w:rPr>
              <w:t>– 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</w:p>
          <w:p w:rsidR="007562EC" w:rsidRDefault="007562EC" w:rsidP="00702F6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1065">
              <w:rPr>
                <w:rFonts w:ascii="Arial" w:hAnsi="Arial" w:cs="Arial"/>
                <w:sz w:val="20"/>
                <w:szCs w:val="20"/>
              </w:rPr>
              <w:t>Alakulótér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562EC" w:rsidRPr="00191065" w:rsidRDefault="007562EC" w:rsidP="00702F6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Pr="00191065">
              <w:rPr>
                <w:rFonts w:ascii="Arial" w:hAnsi="Arial" w:cs="Arial"/>
                <w:color w:val="FF0000"/>
                <w:sz w:val="20"/>
                <w:szCs w:val="20"/>
              </w:rPr>
              <w:t>dőjárásfüggő</w:t>
            </w:r>
            <w:proofErr w:type="gramStart"/>
            <w:r w:rsidRPr="00191065">
              <w:rPr>
                <w:rFonts w:ascii="Arial" w:hAnsi="Arial" w:cs="Arial"/>
                <w:color w:val="FF0000"/>
                <w:sz w:val="20"/>
                <w:szCs w:val="20"/>
              </w:rPr>
              <w:t>!!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BHD 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Katonai testnevelési bem</w:t>
            </w:r>
            <w:r w:rsidRPr="0037313F">
              <w:rPr>
                <w:rFonts w:ascii="Arial" w:hAnsi="Arial" w:cs="Arial"/>
                <w:sz w:val="22"/>
                <w:szCs w:val="22"/>
              </w:rPr>
              <w:t>u</w:t>
            </w:r>
            <w:r w:rsidRPr="0037313F">
              <w:rPr>
                <w:rFonts w:ascii="Arial" w:hAnsi="Arial" w:cs="Arial"/>
                <w:sz w:val="22"/>
                <w:szCs w:val="22"/>
              </w:rPr>
              <w:t>tató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7313F">
              <w:rPr>
                <w:rFonts w:ascii="Arial" w:hAnsi="Arial" w:cs="Arial"/>
                <w:sz w:val="20"/>
                <w:szCs w:val="20"/>
              </w:rPr>
              <w:t>– 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</w:t>
            </w:r>
          </w:p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Alakulótér</w:t>
            </w:r>
          </w:p>
        </w:tc>
        <w:tc>
          <w:tcPr>
            <w:tcW w:w="144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MH LZ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Ellenőrző-áteresztő </w:t>
            </w:r>
            <w:r w:rsidRPr="0037313F">
              <w:rPr>
                <w:rFonts w:ascii="Arial" w:hAnsi="Arial" w:cs="Arial"/>
                <w:sz w:val="22"/>
                <w:szCs w:val="22"/>
              </w:rPr>
              <w:t>pont</w:t>
            </w:r>
            <w:r>
              <w:rPr>
                <w:rFonts w:ascii="Arial" w:hAnsi="Arial" w:cs="Arial"/>
                <w:sz w:val="22"/>
                <w:szCs w:val="22"/>
              </w:rPr>
              <w:t xml:space="preserve"> katonai feladatai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11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45 </w:t>
            </w:r>
            <w:r w:rsidRPr="0037313F">
              <w:rPr>
                <w:rFonts w:ascii="Arial" w:hAnsi="Arial" w:cs="Arial"/>
                <w:sz w:val="20"/>
                <w:szCs w:val="20"/>
              </w:rPr>
              <w:t>– 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</w:t>
            </w:r>
          </w:p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Alakulótér</w:t>
            </w:r>
          </w:p>
        </w:tc>
        <w:tc>
          <w:tcPr>
            <w:tcW w:w="1446" w:type="dxa"/>
            <w:shd w:val="clear" w:color="auto" w:fill="auto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11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45 </w:t>
            </w:r>
            <w:r w:rsidRPr="0037313F">
              <w:rPr>
                <w:rFonts w:ascii="Arial" w:hAnsi="Arial" w:cs="Arial"/>
                <w:sz w:val="20"/>
                <w:szCs w:val="20"/>
              </w:rPr>
              <w:t>– 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</w:t>
            </w:r>
          </w:p>
          <w:p w:rsidR="007562EC" w:rsidRPr="0037313F" w:rsidRDefault="007562EC" w:rsidP="00702F6E">
            <w:pPr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Alakulótér</w:t>
            </w: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örgy</w:t>
            </w:r>
          </w:p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Kocsi 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313F">
              <w:rPr>
                <w:rFonts w:ascii="Arial" w:hAnsi="Arial" w:cs="Arial"/>
                <w:sz w:val="20"/>
                <w:szCs w:val="20"/>
              </w:rPr>
              <w:t xml:space="preserve"> fhdgy</w:t>
            </w:r>
          </w:p>
        </w:tc>
      </w:tr>
      <w:tr w:rsidR="007562EC" w:rsidRPr="007A5800" w:rsidTr="00702F6E">
        <w:trPr>
          <w:trHeight w:val="514"/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Helikopter leszállás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Alakulótér</w:t>
            </w: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Juhász László alez.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Helikopter bemutató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C3DB6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-14</w:t>
            </w:r>
            <w:r w:rsidRPr="008C3DB6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Juhász László alez.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Fizikai állapotfelmérés és tanácsadás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:rsidR="007562EC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45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7313F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 xml:space="preserve">       </w:t>
            </w:r>
            <w:r w:rsidRPr="0037313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</w:t>
            </w:r>
          </w:p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Takács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K.+sportpálya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Bánszki 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13F">
              <w:rPr>
                <w:rFonts w:ascii="Arial" w:hAnsi="Arial" w:cs="Arial"/>
                <w:sz w:val="20"/>
                <w:szCs w:val="20"/>
              </w:rPr>
              <w:t>alez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Felvételivel kapcsolatos tájékoztatás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Díszterem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bCs/>
                <w:sz w:val="22"/>
                <w:szCs w:val="22"/>
              </w:rPr>
              <w:t>Egészségügyi alkalmass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á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gi tanácsadás (katonai szakok)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Díszterem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>MH KAVO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bCs/>
                <w:sz w:val="22"/>
                <w:szCs w:val="22"/>
              </w:rPr>
              <w:t>ANDROS F6-A típusú tű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szerész robot bem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tató</w:t>
            </w:r>
          </w:p>
        </w:tc>
        <w:tc>
          <w:tcPr>
            <w:tcW w:w="8976" w:type="dxa"/>
            <w:gridSpan w:val="6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12. épület földszint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7313F">
              <w:rPr>
                <w:rFonts w:ascii="Arial" w:hAnsi="Arial" w:cs="Arial"/>
                <w:sz w:val="20"/>
                <w:szCs w:val="20"/>
              </w:rPr>
              <w:t>HTHE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313F">
              <w:rPr>
                <w:rFonts w:ascii="Arial" w:hAnsi="Arial" w:cs="Arial"/>
                <w:sz w:val="22"/>
                <w:szCs w:val="22"/>
              </w:rPr>
              <w:t>JetFly</w:t>
            </w:r>
            <w:proofErr w:type="spellEnd"/>
            <w:r w:rsidRPr="0037313F">
              <w:rPr>
                <w:rFonts w:ascii="Arial" w:hAnsi="Arial" w:cs="Arial"/>
                <w:sz w:val="22"/>
                <w:szCs w:val="22"/>
              </w:rPr>
              <w:t xml:space="preserve"> szimulátor</w:t>
            </w:r>
          </w:p>
        </w:tc>
        <w:tc>
          <w:tcPr>
            <w:tcW w:w="145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</w:p>
        </w:tc>
        <w:tc>
          <w:tcPr>
            <w:tcW w:w="5790" w:type="dxa"/>
            <w:gridSpan w:val="4"/>
            <w:shd w:val="clear" w:color="auto" w:fill="auto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Díszterem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13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gramStart"/>
            <w:r w:rsidRPr="0037313F">
              <w:rPr>
                <w:rFonts w:ascii="Arial" w:hAnsi="Arial" w:cs="Arial"/>
                <w:sz w:val="20"/>
                <w:szCs w:val="20"/>
              </w:rPr>
              <w:t>Palik</w:t>
            </w:r>
            <w:proofErr w:type="gramEnd"/>
            <w:r w:rsidRPr="0037313F">
              <w:rPr>
                <w:rFonts w:ascii="Arial" w:hAnsi="Arial" w:cs="Arial"/>
                <w:sz w:val="20"/>
                <w:szCs w:val="20"/>
              </w:rPr>
              <w:t xml:space="preserve"> 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13F">
              <w:rPr>
                <w:rFonts w:ascii="Arial" w:hAnsi="Arial" w:cs="Arial"/>
                <w:sz w:val="20"/>
                <w:szCs w:val="20"/>
              </w:rPr>
              <w:t>ezds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62EC" w:rsidRPr="007A5800" w:rsidTr="00702F6E">
        <w:trPr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  <w:sz w:val="22"/>
                <w:szCs w:val="22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Haditechnikai bemutató</w:t>
            </w:r>
          </w:p>
          <w:p w:rsidR="007562EC" w:rsidRPr="0037313F" w:rsidRDefault="007562EC" w:rsidP="00702F6E">
            <w:pPr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  <w:sz w:val="22"/>
                <w:szCs w:val="22"/>
              </w:rPr>
              <w:t>(BTR-80A, T-72)</w:t>
            </w:r>
          </w:p>
        </w:tc>
        <w:tc>
          <w:tcPr>
            <w:tcW w:w="8976" w:type="dxa"/>
            <w:gridSpan w:val="6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épület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Juhász László alez.</w:t>
            </w:r>
          </w:p>
        </w:tc>
      </w:tr>
    </w:tbl>
    <w:p w:rsidR="007562EC" w:rsidRDefault="007562EC" w:rsidP="007562EC">
      <w:r>
        <w:br w:type="page"/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840"/>
        <w:gridCol w:w="9002"/>
        <w:gridCol w:w="2126"/>
      </w:tblGrid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7313F">
              <w:rPr>
                <w:rFonts w:ascii="Arial" w:hAnsi="Arial" w:cs="Arial"/>
                <w:bCs/>
                <w:sz w:val="22"/>
                <w:szCs w:val="22"/>
              </w:rPr>
              <w:t>Bemutató pont: Fegyve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zettechnikai anyagok (á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caruha, gépjármű techn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ka)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B939F0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B939F0">
              <w:rPr>
                <w:rFonts w:ascii="Arial" w:hAnsi="Arial" w:cs="Arial"/>
                <w:bCs/>
              </w:rPr>
              <w:t>30. épület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313F">
              <w:rPr>
                <w:rFonts w:ascii="Arial" w:hAnsi="Arial" w:cs="Arial"/>
                <w:bCs/>
                <w:sz w:val="20"/>
                <w:szCs w:val="20"/>
              </w:rPr>
              <w:t>MH 2. vitéz Bert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lan Á. Különleges Re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deltetésű Da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dár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7313F">
              <w:rPr>
                <w:rFonts w:ascii="Arial" w:hAnsi="Arial" w:cs="Arial"/>
                <w:bCs/>
                <w:sz w:val="22"/>
                <w:szCs w:val="22"/>
              </w:rPr>
              <w:t>Bemutató pont: HAVARIA készenléti szolgálat, mobil értékelő gé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jármű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8E2EB2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highlight w:val="green"/>
              </w:rPr>
            </w:pPr>
            <w:r w:rsidRPr="008E2EB2">
              <w:rPr>
                <w:rFonts w:ascii="Arial" w:hAnsi="Arial" w:cs="Arial"/>
                <w:bCs/>
              </w:rPr>
              <w:t>42. épület, ABV labor előtt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313F">
              <w:rPr>
                <w:rFonts w:ascii="Arial" w:hAnsi="Arial" w:cs="Arial"/>
                <w:bCs/>
                <w:sz w:val="20"/>
                <w:szCs w:val="20"/>
              </w:rPr>
              <w:t xml:space="preserve">MH </w:t>
            </w:r>
            <w:proofErr w:type="spellStart"/>
            <w:r w:rsidRPr="0037313F">
              <w:rPr>
                <w:rFonts w:ascii="Arial" w:hAnsi="Arial" w:cs="Arial"/>
                <w:bCs/>
                <w:sz w:val="20"/>
                <w:szCs w:val="20"/>
              </w:rPr>
              <w:t>Görgei</w:t>
            </w:r>
            <w:proofErr w:type="spellEnd"/>
            <w:r w:rsidRPr="003731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37313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37313F">
              <w:rPr>
                <w:rFonts w:ascii="Arial" w:hAnsi="Arial" w:cs="Arial"/>
                <w:bCs/>
                <w:sz w:val="20"/>
                <w:szCs w:val="20"/>
              </w:rPr>
              <w:t xml:space="preserve">. VV </w:t>
            </w:r>
            <w:proofErr w:type="spellStart"/>
            <w:r w:rsidRPr="0037313F">
              <w:rPr>
                <w:rFonts w:ascii="Arial" w:hAnsi="Arial" w:cs="Arial"/>
                <w:bCs/>
                <w:sz w:val="20"/>
                <w:szCs w:val="20"/>
              </w:rPr>
              <w:t>Inf</w:t>
            </w:r>
            <w:proofErr w:type="spellEnd"/>
            <w:r w:rsidRPr="0037313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7313F">
              <w:rPr>
                <w:rFonts w:ascii="Arial" w:hAnsi="Arial" w:cs="Arial"/>
                <w:bCs/>
                <w:sz w:val="20"/>
                <w:szCs w:val="20"/>
              </w:rPr>
              <w:t>Kp.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7313F">
              <w:rPr>
                <w:rFonts w:ascii="Arial" w:hAnsi="Arial" w:cs="Arial"/>
                <w:bCs/>
                <w:sz w:val="22"/>
                <w:szCs w:val="22"/>
              </w:rPr>
              <w:t xml:space="preserve">Bemutató pont: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MH CKELMK</w:t>
            </w:r>
          </w:p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sátor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8E2EB2" w:rsidRDefault="003A2FEE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 épület, földszint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313F">
              <w:rPr>
                <w:rFonts w:ascii="Arial" w:hAnsi="Arial" w:cs="Arial"/>
                <w:bCs/>
                <w:sz w:val="20"/>
                <w:szCs w:val="20"/>
              </w:rPr>
              <w:t xml:space="preserve">MH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CKELMK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7313F">
              <w:rPr>
                <w:rFonts w:ascii="Arial" w:hAnsi="Arial" w:cs="Arial"/>
                <w:bCs/>
                <w:sz w:val="22"/>
                <w:szCs w:val="22"/>
              </w:rPr>
              <w:t>Bemutató pont: toborz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ó</w:t>
            </w:r>
            <w:r w:rsidRPr="0037313F">
              <w:rPr>
                <w:rFonts w:ascii="Arial" w:hAnsi="Arial" w:cs="Arial"/>
                <w:bCs/>
                <w:sz w:val="22"/>
                <w:szCs w:val="22"/>
              </w:rPr>
              <w:t>központ üzemeltetése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CD1F29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Cs w:val="22"/>
              </w:rPr>
            </w:pPr>
            <w:r w:rsidRPr="00CD1F29">
              <w:rPr>
                <w:rFonts w:ascii="Arial" w:hAnsi="Arial" w:cs="Arial"/>
                <w:bCs/>
                <w:szCs w:val="22"/>
              </w:rPr>
              <w:t>Díszterem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313F">
              <w:rPr>
                <w:rFonts w:ascii="Arial" w:hAnsi="Arial" w:cs="Arial"/>
                <w:bCs/>
                <w:sz w:val="20"/>
                <w:szCs w:val="20"/>
              </w:rPr>
              <w:t>MH KIKNYP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7313F">
              <w:rPr>
                <w:rFonts w:ascii="Arial" w:hAnsi="Arial" w:cs="Arial"/>
                <w:bCs/>
                <w:sz w:val="22"/>
                <w:szCs w:val="22"/>
              </w:rPr>
              <w:t>Bemutató: kamion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CD1F29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Cs w:val="22"/>
              </w:rPr>
            </w:pPr>
            <w:r w:rsidRPr="00CD1F29">
              <w:rPr>
                <w:rFonts w:ascii="Arial" w:hAnsi="Arial" w:cs="Arial"/>
                <w:bCs/>
                <w:szCs w:val="22"/>
              </w:rPr>
              <w:t>„D” épület előtt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313F">
              <w:rPr>
                <w:rFonts w:ascii="Arial" w:hAnsi="Arial" w:cs="Arial"/>
                <w:bCs/>
                <w:sz w:val="20"/>
                <w:szCs w:val="20"/>
              </w:rPr>
              <w:t>HM Zrínyi KHT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37313F">
              <w:rPr>
                <w:rFonts w:ascii="Arial" w:hAnsi="Arial" w:cs="Arial"/>
                <w:bCs/>
              </w:rPr>
              <w:t>Lézerlövészet, Makett kiállítás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10. épület, Díszterem előtér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Default="007562EC" w:rsidP="00702F6E">
            <w:pPr>
              <w:jc w:val="center"/>
            </w:pPr>
            <w:r w:rsidRPr="003D6385">
              <w:rPr>
                <w:rFonts w:ascii="Arial" w:hAnsi="Arial" w:cs="Arial"/>
                <w:bCs/>
                <w:sz w:val="20"/>
                <w:szCs w:val="20"/>
              </w:rPr>
              <w:t>HM Zrínyi KHT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37313F">
              <w:rPr>
                <w:rFonts w:ascii="Arial" w:hAnsi="Arial" w:cs="Arial"/>
                <w:bCs/>
              </w:rPr>
              <w:t>Könyvárusítás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10. épület, földszint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Default="007562EC" w:rsidP="00702F6E">
            <w:pPr>
              <w:jc w:val="center"/>
            </w:pPr>
            <w:r w:rsidRPr="003D6385">
              <w:rPr>
                <w:rFonts w:ascii="Arial" w:hAnsi="Arial" w:cs="Arial"/>
                <w:bCs/>
                <w:sz w:val="20"/>
                <w:szCs w:val="20"/>
              </w:rPr>
              <w:t>HM Zrínyi KHT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37313F">
              <w:rPr>
                <w:rFonts w:ascii="Arial" w:hAnsi="Arial" w:cs="Arial"/>
                <w:bCs/>
              </w:rPr>
              <w:t>Szülői tájékoztató pont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2. épület alagsor, Tudós Kávézó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Könyvtár</w:t>
            </w:r>
          </w:p>
        </w:tc>
      </w:tr>
      <w:tr w:rsidR="007562EC" w:rsidRPr="007A5800" w:rsidTr="00702F6E">
        <w:trPr>
          <w:trHeight w:val="479"/>
        </w:trPr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37313F">
              <w:rPr>
                <w:rFonts w:ascii="Arial" w:hAnsi="Arial" w:cs="Arial"/>
                <w:bCs/>
              </w:rPr>
              <w:t>MH Ludovika Zászlóalj (napi élet)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811E2A">
              <w:rPr>
                <w:rFonts w:ascii="Arial" w:hAnsi="Arial" w:cs="Arial"/>
              </w:rPr>
              <w:t xml:space="preserve">12. épület, </w:t>
            </w:r>
            <w:r>
              <w:rPr>
                <w:rFonts w:ascii="Arial" w:hAnsi="Arial" w:cs="Arial"/>
              </w:rPr>
              <w:t>A</w:t>
            </w:r>
            <w:r w:rsidRPr="00811E2A">
              <w:rPr>
                <w:rFonts w:ascii="Arial" w:hAnsi="Arial" w:cs="Arial"/>
              </w:rPr>
              <w:t>ula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MH LZ</w:t>
            </w:r>
          </w:p>
        </w:tc>
      </w:tr>
      <w:tr w:rsidR="007562EC" w:rsidRPr="007A5800" w:rsidTr="00702F6E">
        <w:tc>
          <w:tcPr>
            <w:tcW w:w="483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7562EC" w:rsidRPr="0037313F" w:rsidRDefault="007562EC" w:rsidP="00702F6E">
            <w:pPr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MH Ludovika Zászlóalj (körlet)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12. épület, kijelölt körlet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62EC" w:rsidRPr="0037313F" w:rsidRDefault="007562EC" w:rsidP="00702F6E">
            <w:pPr>
              <w:jc w:val="center"/>
              <w:rPr>
                <w:rFonts w:ascii="Arial" w:hAnsi="Arial" w:cs="Arial"/>
              </w:rPr>
            </w:pPr>
            <w:r w:rsidRPr="0037313F">
              <w:rPr>
                <w:rFonts w:ascii="Arial" w:hAnsi="Arial" w:cs="Arial"/>
              </w:rPr>
              <w:t>MH LZ</w:t>
            </w:r>
          </w:p>
        </w:tc>
      </w:tr>
    </w:tbl>
    <w:p w:rsidR="007562EC" w:rsidRDefault="007562EC" w:rsidP="007562EC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26267C" w:rsidRDefault="00482855" w:rsidP="00482855">
      <w:pPr>
        <w:ind w:firstLine="10206"/>
      </w:pPr>
      <w:r>
        <w:t>A kar a programváltoztatás jogát fenntartja!</w:t>
      </w:r>
    </w:p>
    <w:sectPr w:rsidR="0026267C" w:rsidSect="00756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C"/>
    <w:rsid w:val="0026267C"/>
    <w:rsid w:val="003A2FEE"/>
    <w:rsid w:val="00482855"/>
    <w:rsid w:val="007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668"/>
  <w15:chartTrackingRefBased/>
  <w15:docId w15:val="{199ADC0E-93C3-425B-AF05-8ABB31ED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5F56-3A2E-48C4-8121-6C460D2F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Kozákné Bodrogi Beáta</dc:creator>
  <cp:keywords/>
  <dc:description/>
  <cp:lastModifiedBy>Kozákné Bodrogi Beáta</cp:lastModifiedBy>
  <cp:revision>2</cp:revision>
  <dcterms:created xsi:type="dcterms:W3CDTF">2018-11-27T10:17:00Z</dcterms:created>
  <dcterms:modified xsi:type="dcterms:W3CDTF">2018-11-27T10:34:00Z</dcterms:modified>
</cp:coreProperties>
</file>